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04" w:rsidRDefault="00D55604" w:rsidP="00D55604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D55604" w:rsidRDefault="00D55604" w:rsidP="00D55604">
      <w:pPr>
        <w:pStyle w:val="ConsPlusNormal"/>
        <w:jc w:val="both"/>
        <w:outlineLvl w:val="0"/>
      </w:pPr>
    </w:p>
    <w:p w:rsidR="00D55604" w:rsidRDefault="00D55604" w:rsidP="00D55604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D55604" w:rsidRDefault="00D55604" w:rsidP="00D55604">
      <w:pPr>
        <w:pStyle w:val="ConsPlusNormal"/>
        <w:jc w:val="both"/>
      </w:pPr>
      <w:r>
        <w:t>Республики Беларусь 18 августа 2010 г. N 8/22684</w:t>
      </w:r>
    </w:p>
    <w:p w:rsidR="00D55604" w:rsidRDefault="00D55604" w:rsidP="00D55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604" w:rsidRDefault="00D55604" w:rsidP="00D55604">
      <w:pPr>
        <w:pStyle w:val="ConsPlusNormal"/>
        <w:jc w:val="both"/>
      </w:pPr>
    </w:p>
    <w:p w:rsidR="00D55604" w:rsidRDefault="00D55604" w:rsidP="00D55604">
      <w:pPr>
        <w:pStyle w:val="ConsPlusNormal"/>
        <w:jc w:val="center"/>
        <w:rPr>
          <w:b/>
          <w:bCs/>
        </w:rPr>
      </w:pPr>
      <w:r>
        <w:rPr>
          <w:b/>
          <w:bCs/>
        </w:rPr>
        <w:t>ПОСТА</w:t>
      </w:r>
      <w:bookmarkStart w:id="0" w:name="_GoBack"/>
      <w:bookmarkEnd w:id="0"/>
      <w:r>
        <w:rPr>
          <w:b/>
          <w:bCs/>
        </w:rPr>
        <w:t>НОВЛЕНИЕ МИНИСТЕРСТВА ПО ЧРЕЗВЫЧАЙНЫМ СИТУАЦИЯМ РЕСПУБЛИКИ БЕЛАРУСЬ</w:t>
      </w:r>
    </w:p>
    <w:p w:rsidR="00D55604" w:rsidRDefault="00D55604" w:rsidP="00D55604">
      <w:pPr>
        <w:pStyle w:val="ConsPlusNormal"/>
        <w:jc w:val="center"/>
        <w:rPr>
          <w:b/>
          <w:bCs/>
        </w:rPr>
      </w:pPr>
      <w:r>
        <w:rPr>
          <w:b/>
          <w:bCs/>
        </w:rPr>
        <w:t>9 июля 2010 г. N 32</w:t>
      </w:r>
    </w:p>
    <w:p w:rsidR="00D55604" w:rsidRDefault="00D55604" w:rsidP="00D55604">
      <w:pPr>
        <w:pStyle w:val="ConsPlusNormal"/>
        <w:jc w:val="center"/>
        <w:rPr>
          <w:b/>
          <w:bCs/>
        </w:rPr>
      </w:pPr>
    </w:p>
    <w:p w:rsidR="00D55604" w:rsidRDefault="00D55604" w:rsidP="00D5560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ПЕРЕЧНЯ ОБЪЕКТОВ СТРОИТЕЛЬСТВА ЖИЛИЩНО-ГРАЖДАНСКОГО, ПРОИЗВОДСТВЕННОГО НАЗНАЧЕНИЯ, ИНЖЕНЕРНОЙ ИНФРАСТРУКТУРЫ, НА КОТОРЫЕ ТРЕБУЕТСЯ ПОЛУЧЕНИЕ ТЕХНИЧЕСКИХ УСЛОВИЙ НА РАЗРАБОТКУ РАЗДЕЛА "ИНЖЕНЕРНО-ТЕХНИЧЕСКИЕ МЕРОПРИЯТИЯ ГРАЖДАНСКОЙ ОБОРОНЫ. МЕРОПРИЯТИЯ ПО ПРЕДУПРЕЖДЕНИЮ ЧРЕЗВЫЧАЙНЫХ СИТУАЦИЙ"</w:t>
      </w:r>
    </w:p>
    <w:p w:rsidR="00D55604" w:rsidRDefault="00D55604" w:rsidP="00D55604">
      <w:pPr>
        <w:pStyle w:val="ConsPlusNormal"/>
        <w:ind w:firstLine="540"/>
        <w:jc w:val="both"/>
      </w:pPr>
    </w:p>
    <w:p w:rsidR="00D55604" w:rsidRDefault="00D55604" w:rsidP="00D55604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подпункта 7.4 пункта 7</w:t>
        </w:r>
      </w:hyperlink>
      <w:r>
        <w:t xml:space="preserve"> Положения о Министерстве по чрезвычайным ситуациям Республики Беларусь, утвержденного Указом Президента Республики Беларусь от 29 декабря 2006 г. N 756 "О некоторых вопросах Министерства по чрезвычайным ситуациям", и во исполнение </w:t>
      </w:r>
      <w:hyperlink r:id="rId6" w:history="1">
        <w:r>
          <w:rPr>
            <w:color w:val="0000FF"/>
          </w:rPr>
          <w:t>пункта 2</w:t>
        </w:r>
      </w:hyperlink>
      <w:r>
        <w:t xml:space="preserve"> постановления Совета Министров Республики Беларусь от 19 июня 2010 г. N 933 "О внесении дополнений и изменений в постановление Совета Министров Республики Беларусь от 21 ноября 2007 г. N 1584" Министерство по чрезвычайным ситуациям Республики Беларусь ПОСТАНОВЛЯЕТ:</w:t>
      </w:r>
    </w:p>
    <w:p w:rsidR="00D55604" w:rsidRDefault="00D55604" w:rsidP="00D55604">
      <w:pPr>
        <w:pStyle w:val="ConsPlusNormal"/>
        <w:ind w:firstLine="540"/>
        <w:jc w:val="both"/>
      </w:pPr>
      <w:r>
        <w:t xml:space="preserve">Утвердить </w:t>
      </w:r>
      <w:hyperlink w:anchor="Par33" w:history="1">
        <w:r>
          <w:rPr>
            <w:color w:val="0000FF"/>
          </w:rPr>
          <w:t>перечень</w:t>
        </w:r>
      </w:hyperlink>
      <w:r>
        <w:t xml:space="preserve"> объектов строительства жилищно-гражданского, производственного назначения, инженерной инфраструктуры, на которые требуется получение технических условий на разработку раздела "Инженерно-технические мероприятия гражданской обороны. Мероприятия по предупреждению чрезвычайных ситуаций" согласно приложению.</w:t>
      </w:r>
    </w:p>
    <w:p w:rsidR="00D55604" w:rsidRDefault="00D55604" w:rsidP="00D55604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5047"/>
      </w:tblGrid>
      <w:tr w:rsidR="00D55604">
        <w:tc>
          <w:tcPr>
            <w:tcW w:w="5046" w:type="dxa"/>
          </w:tcPr>
          <w:p w:rsidR="00D55604" w:rsidRDefault="00D55604">
            <w:pPr>
              <w:pStyle w:val="ConsPlusNormal"/>
            </w:pPr>
            <w:r>
              <w:t>Министр</w:t>
            </w:r>
          </w:p>
        </w:tc>
        <w:tc>
          <w:tcPr>
            <w:tcW w:w="5046" w:type="dxa"/>
          </w:tcPr>
          <w:p w:rsidR="00D55604" w:rsidRDefault="00D55604">
            <w:pPr>
              <w:pStyle w:val="ConsPlusNormal"/>
              <w:jc w:val="right"/>
            </w:pPr>
            <w:proofErr w:type="spellStart"/>
            <w:r>
              <w:t>Э.Р.Бариев</w:t>
            </w:r>
            <w:proofErr w:type="spellEnd"/>
          </w:p>
        </w:tc>
      </w:tr>
    </w:tbl>
    <w:p w:rsidR="00D55604" w:rsidRDefault="00D55604" w:rsidP="00D55604">
      <w:pPr>
        <w:pStyle w:val="ConsPlusNormal"/>
        <w:ind w:firstLine="540"/>
        <w:jc w:val="both"/>
      </w:pPr>
    </w:p>
    <w:p w:rsidR="00D55604" w:rsidRDefault="00D55604" w:rsidP="00D55604">
      <w:pPr>
        <w:pStyle w:val="ConsPlusNonformat"/>
        <w:jc w:val="both"/>
      </w:pPr>
      <w:r>
        <w:t>СОГЛАСОВАНО</w:t>
      </w:r>
    </w:p>
    <w:p w:rsidR="00D55604" w:rsidRDefault="00D55604" w:rsidP="00D55604">
      <w:pPr>
        <w:pStyle w:val="ConsPlusNonformat"/>
        <w:jc w:val="both"/>
      </w:pPr>
      <w:r>
        <w:t>Министр архитектуры</w:t>
      </w:r>
    </w:p>
    <w:p w:rsidR="00D55604" w:rsidRDefault="00D55604" w:rsidP="00D55604">
      <w:pPr>
        <w:pStyle w:val="ConsPlusNonformat"/>
        <w:jc w:val="both"/>
      </w:pPr>
      <w:r>
        <w:t>и строительства</w:t>
      </w:r>
    </w:p>
    <w:p w:rsidR="00D55604" w:rsidRDefault="00D55604" w:rsidP="00D55604">
      <w:pPr>
        <w:pStyle w:val="ConsPlusNonformat"/>
        <w:jc w:val="both"/>
      </w:pPr>
      <w:r>
        <w:t>Республики Беларусь</w:t>
      </w:r>
    </w:p>
    <w:p w:rsidR="00D55604" w:rsidRDefault="00D55604" w:rsidP="00D55604">
      <w:pPr>
        <w:pStyle w:val="ConsPlusNonformat"/>
        <w:jc w:val="both"/>
      </w:pPr>
      <w:r>
        <w:t xml:space="preserve">        </w:t>
      </w:r>
      <w:proofErr w:type="spellStart"/>
      <w:r>
        <w:t>А.И.Селезнев</w:t>
      </w:r>
      <w:proofErr w:type="spellEnd"/>
    </w:p>
    <w:p w:rsidR="00D55604" w:rsidRDefault="00D55604" w:rsidP="00D55604">
      <w:pPr>
        <w:pStyle w:val="ConsPlusNonformat"/>
        <w:jc w:val="both"/>
      </w:pPr>
      <w:r>
        <w:t>07.07.2010</w:t>
      </w:r>
    </w:p>
    <w:p w:rsidR="00D55604" w:rsidRDefault="00D55604" w:rsidP="00D55604">
      <w:pPr>
        <w:pStyle w:val="ConsPlusNormal"/>
        <w:ind w:firstLine="540"/>
        <w:jc w:val="both"/>
      </w:pPr>
    </w:p>
    <w:p w:rsidR="00D55604" w:rsidRDefault="00D55604" w:rsidP="00D55604">
      <w:pPr>
        <w:pStyle w:val="ConsPlusNormal"/>
        <w:ind w:firstLine="540"/>
        <w:jc w:val="both"/>
      </w:pPr>
    </w:p>
    <w:p w:rsidR="00D55604" w:rsidRDefault="00D55604" w:rsidP="00D55604">
      <w:pPr>
        <w:pStyle w:val="ConsPlusNormal"/>
        <w:ind w:firstLine="540"/>
        <w:jc w:val="both"/>
      </w:pPr>
    </w:p>
    <w:p w:rsidR="00D55604" w:rsidRDefault="00D55604" w:rsidP="00D55604">
      <w:pPr>
        <w:pStyle w:val="ConsPlusNormal"/>
        <w:ind w:firstLine="540"/>
        <w:jc w:val="both"/>
      </w:pPr>
    </w:p>
    <w:p w:rsidR="00D55604" w:rsidRDefault="00D55604" w:rsidP="00D55604">
      <w:pPr>
        <w:pStyle w:val="ConsPlusNormal"/>
        <w:ind w:firstLine="540"/>
        <w:jc w:val="both"/>
      </w:pPr>
    </w:p>
    <w:p w:rsidR="00D55604" w:rsidRDefault="00D55604" w:rsidP="00D55604">
      <w:pPr>
        <w:pStyle w:val="ConsPlusNormal"/>
        <w:jc w:val="right"/>
        <w:outlineLvl w:val="0"/>
      </w:pPr>
      <w:r>
        <w:t>Приложение</w:t>
      </w:r>
    </w:p>
    <w:p w:rsidR="00D55604" w:rsidRDefault="00D55604" w:rsidP="00D55604">
      <w:pPr>
        <w:pStyle w:val="ConsPlusNormal"/>
        <w:jc w:val="right"/>
      </w:pPr>
      <w:r>
        <w:t>к постановлению</w:t>
      </w:r>
    </w:p>
    <w:p w:rsidR="00D55604" w:rsidRDefault="00D55604" w:rsidP="00D55604">
      <w:pPr>
        <w:pStyle w:val="ConsPlusNormal"/>
        <w:jc w:val="right"/>
      </w:pPr>
      <w:r>
        <w:lastRenderedPageBreak/>
        <w:t>Министерства</w:t>
      </w:r>
    </w:p>
    <w:p w:rsidR="00D55604" w:rsidRDefault="00D55604" w:rsidP="00D55604">
      <w:pPr>
        <w:pStyle w:val="ConsPlusNormal"/>
        <w:jc w:val="right"/>
      </w:pPr>
      <w:r>
        <w:t>по чрезвычайным ситуациям</w:t>
      </w:r>
    </w:p>
    <w:p w:rsidR="00D55604" w:rsidRDefault="00D55604" w:rsidP="00D55604">
      <w:pPr>
        <w:pStyle w:val="ConsPlusNormal"/>
        <w:jc w:val="right"/>
      </w:pPr>
      <w:r>
        <w:t>Республики Беларусь</w:t>
      </w:r>
    </w:p>
    <w:p w:rsidR="00D55604" w:rsidRDefault="00D55604" w:rsidP="00D55604">
      <w:pPr>
        <w:pStyle w:val="ConsPlusNormal"/>
        <w:jc w:val="right"/>
      </w:pPr>
      <w:r>
        <w:t>09.07.2010 N 32</w:t>
      </w:r>
    </w:p>
    <w:p w:rsidR="00D55604" w:rsidRDefault="00D55604" w:rsidP="00D55604">
      <w:pPr>
        <w:pStyle w:val="ConsPlusNormal"/>
        <w:ind w:firstLine="540"/>
        <w:jc w:val="both"/>
      </w:pPr>
    </w:p>
    <w:p w:rsidR="00D55604" w:rsidRDefault="00D55604" w:rsidP="00D55604">
      <w:pPr>
        <w:pStyle w:val="ConsPlusNormal"/>
        <w:jc w:val="center"/>
      </w:pPr>
      <w:bookmarkStart w:id="1" w:name="Par33"/>
      <w:bookmarkEnd w:id="1"/>
      <w:r>
        <w:t>ПЕРЕЧЕНЬ</w:t>
      </w:r>
    </w:p>
    <w:p w:rsidR="00D55604" w:rsidRDefault="00D55604" w:rsidP="00D55604">
      <w:pPr>
        <w:pStyle w:val="ConsPlusNormal"/>
        <w:jc w:val="center"/>
      </w:pPr>
      <w:r>
        <w:t>ОБЪЕКТОВ СТРОИТЕЛЬСТВА ЖИЛИЩНО-ГРАЖДАНСКОГО, ПРОИЗВОДСТВЕННОГО НАЗНАЧЕНИЯ, ИНЖЕНЕРНОЙ ИНФРАСТРУКТУРЫ, НА КОТОРЫЕ ТРЕБУЕТСЯ ПОЛУЧЕНИЕ ТЕХНИЧЕСКИХ УСЛОВИЙ НА РАЗРАБОТКУ РАЗДЕЛА "ИНЖЕНЕРНО-ТЕХНИЧЕСКИЕ МЕРОПРИЯТИЯ ГРАЖДАНСКОЙ ОБОРОНЫ. МЕРОПРИЯТИЯ ПО ПРЕДУПРЕЖДЕНИЮ ЧРЕЗВЫЧАЙНЫХ СИТУАЦИЙ"</w:t>
      </w:r>
    </w:p>
    <w:p w:rsidR="00D55604" w:rsidRDefault="00D55604" w:rsidP="00D55604">
      <w:pPr>
        <w:pStyle w:val="ConsPlusNormal"/>
        <w:ind w:firstLine="540"/>
        <w:jc w:val="both"/>
      </w:pPr>
    </w:p>
    <w:p w:rsidR="00D55604" w:rsidRDefault="00D55604" w:rsidP="00D55604">
      <w:pPr>
        <w:pStyle w:val="ConsPlusNormal"/>
        <w:ind w:firstLine="540"/>
        <w:jc w:val="both"/>
      </w:pPr>
      <w:r>
        <w:t>1. Объекты первой группы техногенной и экологической степени опасности:</w:t>
      </w:r>
    </w:p>
    <w:p w:rsidR="00D55604" w:rsidRDefault="00D55604" w:rsidP="00D55604">
      <w:pPr>
        <w:pStyle w:val="ConsPlusNormal"/>
        <w:ind w:firstLine="540"/>
        <w:jc w:val="both"/>
      </w:pPr>
      <w:r>
        <w:t xml:space="preserve">объекты, на которых производятся, используются, перерабатываются, хранятся, транспортируются (за исключением перевозки железнодорожным транспортом общего пользования) либо перегружаются ядерные и радиоактивные материалы, включая радиоактивные отходы в количествах, равных или превышающих минимально допустимые, согласно </w:t>
      </w:r>
      <w:hyperlink r:id="rId7" w:history="1">
        <w:r>
          <w:rPr>
            <w:color w:val="0000FF"/>
          </w:rPr>
          <w:t>приложению 1</w:t>
        </w:r>
      </w:hyperlink>
      <w:r>
        <w:t xml:space="preserve"> к Инструкции по определению объектов, представляющих повышенную техногенную и экологическую опасность, условно уязвимых в диверсионном отношении, утвержденной постановлением Министерства по чрезвычайным ситуациям Республики Беларусь от 21 июля 2003 г. N 29 (Национальный реестр правовых актов Республики Беларусь, 2003 г., N 92, 8/9873);</w:t>
      </w:r>
    </w:p>
    <w:p w:rsidR="00D55604" w:rsidRDefault="00D55604" w:rsidP="00D55604">
      <w:pPr>
        <w:pStyle w:val="ConsPlusNormal"/>
        <w:ind w:firstLine="540"/>
        <w:jc w:val="both"/>
      </w:pPr>
      <w:r>
        <w:t xml:space="preserve">иные объекты, за исключением объектов Вооруженных Сил Республики Беларусь, на которых производятся, используются, перерабатываются, хранятся, транспортируются (за исключением перевозки железнодорожным транспортом общего пользования) или уничтожаются опасные вещества в количествах, равных или превышающих минимально допустимые, согласно </w:t>
      </w:r>
      <w:hyperlink r:id="rId8" w:history="1">
        <w:r>
          <w:rPr>
            <w:color w:val="0000FF"/>
          </w:rPr>
          <w:t>приложениям 2</w:t>
        </w:r>
      </w:hyperlink>
      <w:r>
        <w:t xml:space="preserve"> и </w:t>
      </w:r>
      <w:hyperlink r:id="rId9" w:history="1">
        <w:r>
          <w:rPr>
            <w:color w:val="0000FF"/>
          </w:rPr>
          <w:t>3</w:t>
        </w:r>
      </w:hyperlink>
      <w:r>
        <w:t xml:space="preserve"> к Инструкции по определению объектов, представляющих повышенную техногенную и экологическую опасность, условно уязвимых в диверсионном отношении;</w:t>
      </w:r>
    </w:p>
    <w:p w:rsidR="00D55604" w:rsidRDefault="00D55604" w:rsidP="00D55604">
      <w:pPr>
        <w:pStyle w:val="ConsPlusNormal"/>
        <w:ind w:firstLine="540"/>
        <w:jc w:val="both"/>
      </w:pPr>
      <w:r>
        <w:t>гидротехнические сооружения водохранилищ, при разрушении которых возможно образование зон вероятного катастрофического затопления;</w:t>
      </w:r>
    </w:p>
    <w:p w:rsidR="00D55604" w:rsidRDefault="00D55604" w:rsidP="00D55604">
      <w:pPr>
        <w:pStyle w:val="ConsPlusNormal"/>
        <w:ind w:firstLine="540"/>
        <w:jc w:val="both"/>
      </w:pPr>
      <w:r>
        <w:t xml:space="preserve">склады нефти и нефтепродуктов I группы согласно строительным </w:t>
      </w:r>
      <w:hyperlink r:id="rId10" w:history="1">
        <w:r>
          <w:rPr>
            <w:color w:val="0000FF"/>
          </w:rPr>
          <w:t>нормам</w:t>
        </w:r>
      </w:hyperlink>
      <w:r>
        <w:t xml:space="preserve"> Республики Беларусь 3.02.01-98 "Склады нефти и нефтепродуктов", утвержденным приказом Министерства архитектуры и строительства Республики Беларусь от 23 июня 1998 г. N 229;</w:t>
      </w:r>
    </w:p>
    <w:p w:rsidR="00D55604" w:rsidRDefault="00D55604" w:rsidP="00D55604">
      <w:pPr>
        <w:pStyle w:val="ConsPlusNormal"/>
        <w:ind w:firstLine="540"/>
        <w:jc w:val="both"/>
      </w:pPr>
      <w:r>
        <w:t>электростанции мощностью свыше 600 МВт;</w:t>
      </w:r>
    </w:p>
    <w:p w:rsidR="00D55604" w:rsidRDefault="00D55604" w:rsidP="00D55604">
      <w:pPr>
        <w:pStyle w:val="ConsPlusNormal"/>
        <w:ind w:firstLine="540"/>
        <w:jc w:val="both"/>
      </w:pPr>
      <w:r>
        <w:t>аэропорты с длиной основной взлетно-посадочной полосы 1800 м и более;</w:t>
      </w:r>
    </w:p>
    <w:p w:rsidR="00D55604" w:rsidRDefault="00D55604" w:rsidP="00D55604">
      <w:pPr>
        <w:pStyle w:val="ConsPlusNormal"/>
        <w:ind w:firstLine="540"/>
        <w:jc w:val="both"/>
      </w:pPr>
      <w:r>
        <w:t>метрополитен;</w:t>
      </w:r>
    </w:p>
    <w:p w:rsidR="00D55604" w:rsidRDefault="00D55604" w:rsidP="00D55604">
      <w:pPr>
        <w:pStyle w:val="ConsPlusNormal"/>
        <w:ind w:firstLine="540"/>
        <w:jc w:val="both"/>
      </w:pPr>
      <w:r>
        <w:t>объекты речного транспорта;</w:t>
      </w:r>
    </w:p>
    <w:p w:rsidR="00D55604" w:rsidRDefault="00D55604" w:rsidP="00D55604">
      <w:pPr>
        <w:pStyle w:val="ConsPlusNormal"/>
        <w:ind w:firstLine="540"/>
        <w:jc w:val="both"/>
      </w:pPr>
      <w:r>
        <w:t>внеклассные и узловые станции Белорусской железной дороги;</w:t>
      </w:r>
    </w:p>
    <w:p w:rsidR="00D55604" w:rsidRDefault="00D55604" w:rsidP="00D55604">
      <w:pPr>
        <w:pStyle w:val="ConsPlusNormal"/>
        <w:ind w:firstLine="540"/>
        <w:jc w:val="both"/>
      </w:pPr>
      <w:r>
        <w:t>комбинаты хлебопродуктов;</w:t>
      </w:r>
    </w:p>
    <w:p w:rsidR="00D55604" w:rsidRDefault="00D55604" w:rsidP="00D55604">
      <w:pPr>
        <w:pStyle w:val="ConsPlusNormal"/>
        <w:ind w:firstLine="540"/>
        <w:jc w:val="both"/>
      </w:pPr>
      <w:r>
        <w:t>другие объекты организаций, отнесенных к первой и второй категориям по гражданской обороне.</w:t>
      </w:r>
    </w:p>
    <w:p w:rsidR="00D55604" w:rsidRDefault="00D55604" w:rsidP="00D55604">
      <w:pPr>
        <w:pStyle w:val="ConsPlusNormal"/>
        <w:ind w:firstLine="540"/>
        <w:jc w:val="both"/>
      </w:pPr>
      <w:r>
        <w:t>2. Объекты второй группы техногенной и экологической степени опасности:</w:t>
      </w:r>
    </w:p>
    <w:p w:rsidR="00D55604" w:rsidRDefault="00D55604" w:rsidP="00D55604">
      <w:pPr>
        <w:pStyle w:val="ConsPlusNormal"/>
        <w:ind w:firstLine="540"/>
        <w:jc w:val="both"/>
      </w:pPr>
      <w:r>
        <w:lastRenderedPageBreak/>
        <w:t>предприятия и объекты нефтегазодобывающей и нефтегазоперерабатывающей промышленности, не относящиеся к особо опасным объектам, условно уязвимым в диверсионном отношении;</w:t>
      </w:r>
    </w:p>
    <w:p w:rsidR="00D55604" w:rsidRDefault="00D55604" w:rsidP="00D55604">
      <w:pPr>
        <w:pStyle w:val="ConsPlusNormal"/>
        <w:ind w:firstLine="540"/>
        <w:jc w:val="both"/>
      </w:pPr>
      <w:r>
        <w:t>объекты магистральных трубопроводов (с давлением более 2,5 МПа);</w:t>
      </w:r>
    </w:p>
    <w:p w:rsidR="00D55604" w:rsidRDefault="00D55604" w:rsidP="00D55604">
      <w:pPr>
        <w:pStyle w:val="ConsPlusNormal"/>
        <w:ind w:firstLine="540"/>
        <w:jc w:val="both"/>
      </w:pPr>
      <w:r>
        <w:t>предприятия химической и нефтехимической промышленности (за исключением АЗС), не относящиеся к особо опасным объектам, условно уязвимым в диверсионном отношении;</w:t>
      </w:r>
    </w:p>
    <w:p w:rsidR="00D55604" w:rsidRDefault="00D55604" w:rsidP="00D55604">
      <w:pPr>
        <w:pStyle w:val="ConsPlusNormal"/>
        <w:ind w:firstLine="540"/>
        <w:jc w:val="both"/>
      </w:pPr>
      <w:r>
        <w:t>электростанции мощностью от 180 до 600 МВт;</w:t>
      </w:r>
    </w:p>
    <w:p w:rsidR="00D55604" w:rsidRDefault="00D55604" w:rsidP="00D55604">
      <w:pPr>
        <w:pStyle w:val="ConsPlusNormal"/>
        <w:ind w:firstLine="540"/>
        <w:jc w:val="both"/>
      </w:pPr>
      <w:r>
        <w:t>предприятия по хранению, производству целлюлозы и бумаги мощностью 100000 т в год и более;</w:t>
      </w:r>
    </w:p>
    <w:p w:rsidR="00D55604" w:rsidRDefault="00D55604" w:rsidP="00D55604">
      <w:pPr>
        <w:pStyle w:val="ConsPlusNormal"/>
        <w:ind w:firstLine="540"/>
        <w:jc w:val="both"/>
      </w:pPr>
      <w:r>
        <w:t>организации, эксплуатирующие водозаборы, обеспечивающие водоснабжение городов, особо опасных и опасных объектов;</w:t>
      </w:r>
    </w:p>
    <w:p w:rsidR="00D55604" w:rsidRDefault="00D55604" w:rsidP="00D55604">
      <w:pPr>
        <w:pStyle w:val="ConsPlusNormal"/>
        <w:ind w:firstLine="540"/>
        <w:jc w:val="both"/>
      </w:pPr>
      <w:r>
        <w:t>объекты электросвязи, звукового, проводного и телевизионного вещания;</w:t>
      </w:r>
    </w:p>
    <w:p w:rsidR="00D55604" w:rsidRDefault="00D55604" w:rsidP="00D55604">
      <w:pPr>
        <w:pStyle w:val="ConsPlusNormal"/>
        <w:ind w:firstLine="540"/>
        <w:jc w:val="both"/>
      </w:pPr>
      <w:r>
        <w:t>объекты с числом работающих 300 и более человек;</w:t>
      </w:r>
    </w:p>
    <w:p w:rsidR="00D55604" w:rsidRDefault="00D55604" w:rsidP="00D55604">
      <w:pPr>
        <w:pStyle w:val="ConsPlusNormal"/>
        <w:ind w:firstLine="540"/>
        <w:jc w:val="both"/>
      </w:pPr>
      <w:r>
        <w:t>другие объекты организаций, отнесенных к третьей категории по гражданской обороне или имеющих в своем составе защитные сооружения гражданской обороны.</w:t>
      </w:r>
    </w:p>
    <w:p w:rsidR="00D55604" w:rsidRDefault="00D55604" w:rsidP="00D55604">
      <w:pPr>
        <w:pStyle w:val="ConsPlusNormal"/>
        <w:ind w:firstLine="540"/>
        <w:jc w:val="both"/>
      </w:pPr>
      <w:r>
        <w:t>3. Объекты (здания) с массовым пребыванием людей, размещенные в зонах возможного химического заражения и (или) радиоактивного загрязнения, катастрофического затопления, на которых в результате чрезвычайных ситуаций может пострадать 300 и более человек.</w:t>
      </w:r>
    </w:p>
    <w:p w:rsidR="00D55604" w:rsidRDefault="00D55604" w:rsidP="00D55604">
      <w:pPr>
        <w:pStyle w:val="ConsPlusNormal"/>
        <w:jc w:val="both"/>
      </w:pPr>
    </w:p>
    <w:p w:rsidR="00D55604" w:rsidRDefault="00D55604" w:rsidP="00D55604">
      <w:pPr>
        <w:pStyle w:val="ConsPlusNormal"/>
        <w:jc w:val="both"/>
      </w:pPr>
    </w:p>
    <w:p w:rsidR="00D55604" w:rsidRDefault="00D55604" w:rsidP="00D55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2C6" w:rsidRPr="00D55604" w:rsidRDefault="00B632C6" w:rsidP="00D55604"/>
    <w:sectPr w:rsidR="00B632C6" w:rsidRPr="00D55604" w:rsidSect="003705A1">
      <w:pgSz w:w="11905" w:h="16838"/>
      <w:pgMar w:top="1134" w:right="906" w:bottom="850" w:left="90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04"/>
    <w:rsid w:val="00B632C6"/>
    <w:rsid w:val="00D5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0D00E-10B4-4422-ADB5-1C1BC011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556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BDBC4890320176549574A5B94DD294F5091293079FE193D01B1E28062F4BFE0A6EBB5BBB30CB2FDFA4695cDw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5BDBC4890320176549574A5B94DD294F5091293079FE193D01B1E28062F4BFE0A6EBB5BBB30CB2FDFA4696cDw1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BDBC4890320176549574A5B94DD294F509129307FFA1F3B0CBDBF8A6AADB3E2A1E4EAACB445BEFCFA4691D0c1w0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F5BDBC4890320176549574A5B94DD294F5091293077FA173D01B1E28062F4BFE0A6EBB5BBB30CB2FDFA4697cDw7O" TargetMode="External"/><Relationship Id="rId10" Type="http://schemas.openxmlformats.org/officeDocument/2006/relationships/hyperlink" Target="consultantplus://offline/ref=9F5BDBC4890320176549574A5B94DD294F509129307DFB1E3E06B1E28062F4BFE0A6EBB5BBB30CB2FDFA4693cDwE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5BDBC4890320176549574A5B94DD294F5091293079FE193D01B1E28062F4BFE0A6EBB5BBB30CB2FDFA4793cDw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gluschenkoe</dc:creator>
  <cp:keywords/>
  <dc:description/>
  <cp:lastModifiedBy>gluschenkoe</cp:lastModifiedBy>
  <cp:revision>1</cp:revision>
  <dcterms:created xsi:type="dcterms:W3CDTF">2015-12-28T14:48:00Z</dcterms:created>
  <dcterms:modified xsi:type="dcterms:W3CDTF">2015-12-28T14:49:00Z</dcterms:modified>
</cp:coreProperties>
</file>